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A2" w:rsidRPr="00355733" w:rsidRDefault="00005FA2" w:rsidP="00005FA2">
      <w:pPr>
        <w:pStyle w:val="berschrift"/>
        <w:keepNext/>
        <w:keepLines/>
        <w:widowControl/>
        <w:tabs>
          <w:tab w:val="clear" w:pos="9360"/>
        </w:tabs>
        <w:rPr>
          <w:rFonts w:ascii="Arial" w:hAnsi="Arial" w:cs="Arial"/>
          <w:lang w:val="da-DK"/>
        </w:rPr>
      </w:pPr>
      <w:r>
        <w:rPr>
          <w:rFonts w:ascii="Arial" w:hAnsi="Arial" w:cs="Arial"/>
          <w:lang w:val="da-DK"/>
        </w:rPr>
        <w:t>Dr. Ralf Pohl</w:t>
      </w:r>
      <w:r>
        <w:rPr>
          <w:rFonts w:ascii="Arial" w:hAnsi="Arial" w:cs="Arial"/>
          <w:lang w:val="da-DK"/>
        </w:rPr>
        <w:tab/>
        <w:t>Sommer</w:t>
      </w:r>
      <w:r w:rsidRPr="006910AE">
        <w:rPr>
          <w:rFonts w:ascii="Arial" w:hAnsi="Arial" w:cs="Arial"/>
          <w:lang w:val="da-DK"/>
        </w:rPr>
        <w:t>semester</w:t>
      </w:r>
      <w:r>
        <w:rPr>
          <w:rFonts w:ascii="Arial" w:hAnsi="Arial" w:cs="Arial"/>
          <w:lang w:val="da-DK"/>
        </w:rPr>
        <w:t xml:space="preserve"> 2023</w:t>
      </w:r>
    </w:p>
    <w:p w:rsidR="00005FA2" w:rsidRPr="006910AE" w:rsidRDefault="00005FA2" w:rsidP="00005FA2">
      <w:pPr>
        <w:pStyle w:val="berschrift"/>
        <w:keepNext/>
        <w:keepLines/>
        <w:widowControl/>
        <w:tabs>
          <w:tab w:val="clear" w:pos="9360"/>
        </w:tabs>
        <w:rPr>
          <w:lang w:val="da-DK"/>
        </w:rPr>
      </w:pPr>
    </w:p>
    <w:p w:rsidR="00005FA2" w:rsidRPr="00E07334" w:rsidRDefault="00005FA2" w:rsidP="00005FA2">
      <w:pPr>
        <w:pStyle w:val="berschrift"/>
        <w:keepNext/>
        <w:keepLines/>
        <w:widowControl/>
        <w:tabs>
          <w:tab w:val="clear" w:pos="9360"/>
        </w:tabs>
        <w:jc w:val="center"/>
        <w:rPr>
          <w:rFonts w:ascii="Arial" w:hAnsi="Arial" w:cs="Arial"/>
          <w:lang w:val="de-DE"/>
        </w:rPr>
      </w:pPr>
      <w:r w:rsidRPr="009977BF">
        <w:rPr>
          <w:rFonts w:ascii="Arial" w:hAnsi="Arial" w:cs="Arial"/>
          <w:lang w:val="de-DE"/>
        </w:rPr>
        <w:t xml:space="preserve">Anmerkungen zum VWL-Hauptseminar: </w:t>
      </w:r>
    </w:p>
    <w:p w:rsidR="00005FA2" w:rsidRPr="00E07334" w:rsidRDefault="00005FA2" w:rsidP="00005FA2">
      <w:pPr>
        <w:jc w:val="center"/>
        <w:rPr>
          <w:rFonts w:ascii="Arial" w:hAnsi="Arial" w:cs="Arial"/>
          <w:b/>
          <w:sz w:val="24"/>
        </w:rPr>
      </w:pPr>
      <w:r>
        <w:rPr>
          <w:rFonts w:ascii="Arial" w:hAnsi="Arial" w:cs="Arial"/>
          <w:b/>
          <w:sz w:val="24"/>
        </w:rPr>
        <w:t>Arbeitsmarktpolitik</w:t>
      </w:r>
    </w:p>
    <w:p w:rsidR="00005FA2" w:rsidRPr="00952990" w:rsidRDefault="00005FA2" w:rsidP="00005FA2">
      <w:pPr>
        <w:pStyle w:val="berschrift"/>
        <w:keepNext/>
        <w:keepLines/>
        <w:widowControl/>
        <w:tabs>
          <w:tab w:val="clear" w:pos="9360"/>
        </w:tabs>
        <w:jc w:val="center"/>
        <w:rPr>
          <w:rFonts w:ascii="Arial" w:hAnsi="Arial" w:cs="Arial"/>
          <w:lang w:val="de-DE"/>
        </w:rPr>
      </w:pPr>
    </w:p>
    <w:p w:rsidR="00005FA2" w:rsidRDefault="00005FA2" w:rsidP="00005FA2">
      <w:pPr>
        <w:pStyle w:val="berschrift"/>
        <w:keepNext/>
        <w:keepLines/>
        <w:widowControl/>
        <w:tabs>
          <w:tab w:val="clear" w:pos="9360"/>
        </w:tabs>
        <w:jc w:val="center"/>
        <w:rPr>
          <w:rFonts w:ascii="Arial" w:hAnsi="Arial" w:cs="Arial"/>
          <w:lang w:val="de-DE"/>
        </w:rPr>
      </w:pPr>
    </w:p>
    <w:p w:rsidR="00005FA2" w:rsidRPr="000D2653"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Pr>
          <w:rFonts w:ascii="Arial" w:hAnsi="Arial" w:cs="Arial"/>
          <w:sz w:val="24"/>
        </w:rPr>
        <w:t>Zeit und Ort: mittwochs, 1</w:t>
      </w:r>
      <w:r w:rsidR="002C72A5">
        <w:rPr>
          <w:rFonts w:ascii="Arial" w:hAnsi="Arial" w:cs="Arial"/>
          <w:sz w:val="24"/>
        </w:rPr>
        <w:t>4</w:t>
      </w:r>
      <w:r>
        <w:rPr>
          <w:rFonts w:ascii="Arial" w:hAnsi="Arial" w:cs="Arial"/>
          <w:sz w:val="24"/>
        </w:rPr>
        <w:t>:15 – 1</w:t>
      </w:r>
      <w:r w:rsidR="002C72A5">
        <w:rPr>
          <w:rFonts w:ascii="Arial" w:hAnsi="Arial" w:cs="Arial"/>
          <w:sz w:val="24"/>
        </w:rPr>
        <w:t>5</w:t>
      </w:r>
      <w:bookmarkStart w:id="0" w:name="_GoBack"/>
      <w:bookmarkEnd w:id="0"/>
      <w:r>
        <w:rPr>
          <w:rFonts w:ascii="Arial" w:hAnsi="Arial" w:cs="Arial"/>
          <w:sz w:val="24"/>
        </w:rPr>
        <w:t>:45 Uhr, Raum 00.5 PSG</w:t>
      </w:r>
    </w:p>
    <w:p w:rsidR="005E0771" w:rsidRDefault="005E0771"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Voraussetzung für die Teilnahme am Hauptseminar ist:</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1.</w:t>
      </w:r>
      <w:r>
        <w:rPr>
          <w:rFonts w:ascii="Arial" w:hAnsi="Arial" w:cs="Arial"/>
          <w:sz w:val="24"/>
        </w:rPr>
        <w:tab/>
        <w:t xml:space="preserve">der erfolgreiche Abschluss des </w:t>
      </w:r>
      <w:r w:rsidRPr="007E5F66">
        <w:rPr>
          <w:rFonts w:ascii="Arial" w:hAnsi="Arial" w:cs="Arial"/>
          <w:b/>
          <w:sz w:val="24"/>
        </w:rPr>
        <w:t>VWL-(Pro-)Seminars</w:t>
      </w:r>
      <w:r>
        <w:rPr>
          <w:rFonts w:ascii="Arial" w:hAnsi="Arial" w:cs="Arial"/>
          <w:sz w:val="24"/>
        </w:rPr>
        <w:t xml:space="preserve">  und</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4"/>
        </w:rPr>
      </w:pPr>
      <w:r>
        <w:rPr>
          <w:rFonts w:ascii="Arial" w:hAnsi="Arial" w:cs="Arial"/>
          <w:sz w:val="24"/>
        </w:rPr>
        <w:t>2.</w:t>
      </w:r>
      <w:r>
        <w:rPr>
          <w:rFonts w:ascii="Arial" w:hAnsi="Arial" w:cs="Arial"/>
          <w:sz w:val="24"/>
        </w:rPr>
        <w:tab/>
        <w:t>die</w:t>
      </w:r>
      <w:r>
        <w:rPr>
          <w:rFonts w:ascii="Arial" w:hAnsi="Arial" w:cs="Arial"/>
          <w:b/>
          <w:bCs/>
          <w:sz w:val="24"/>
        </w:rPr>
        <w:t xml:space="preserve"> verbindliche</w:t>
      </w:r>
      <w:r>
        <w:rPr>
          <w:rFonts w:ascii="Arial" w:hAnsi="Arial" w:cs="Arial"/>
          <w:sz w:val="24"/>
        </w:rPr>
        <w:t xml:space="preserve"> Übernahme eines Referates aus der vorgegebenen Themenliste.</w:t>
      </w:r>
    </w:p>
    <w:p w:rsidR="00005FA2" w:rsidRDefault="00005FA2" w:rsidP="00005FA2">
      <w:pPr>
        <w:jc w:val="both"/>
        <w:rPr>
          <w:rFonts w:ascii="Arial" w:hAnsi="Arial" w:cs="Arial"/>
          <w:sz w:val="24"/>
        </w:rPr>
      </w:pPr>
      <w:r w:rsidRPr="00B517F5">
        <w:rPr>
          <w:rFonts w:ascii="Arial" w:hAnsi="Arial" w:cs="Arial"/>
          <w:sz w:val="24"/>
        </w:rPr>
        <w:t>Das Hauptseminar ist bestanden, wenn die Gesamtleistung aus Hausarbeit und Vortrag mindestens mit „ausreichend“ (4,0) bewertet wurde. Für das Qualifikationsziel „Fähigkeit zur wissenschaftlichen Diskussion“ ist die regelmäßige Teilnahme am Seminar gemäß § 17 ABMStPO/Phil notwendig.</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u w:val="single"/>
        </w:rPr>
      </w:pPr>
      <w:r>
        <w:rPr>
          <w:rFonts w:ascii="Arial" w:hAnsi="Arial" w:cs="Arial"/>
          <w:b/>
          <w:bCs/>
          <w:sz w:val="24"/>
          <w:u w:val="single"/>
        </w:rPr>
        <w:t xml:space="preserve">Hinweis: Die Übernahme eines Referats ist verbindlich. </w:t>
      </w:r>
    </w:p>
    <w:p w:rsidR="005E0771" w:rsidRDefault="005E0771"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 xml:space="preserve">Die </w:t>
      </w:r>
      <w:r>
        <w:rPr>
          <w:rFonts w:ascii="Arial" w:hAnsi="Arial" w:cs="Arial"/>
          <w:b/>
          <w:bCs/>
          <w:sz w:val="24"/>
        </w:rPr>
        <w:t>schriftliche Ausarbeitung</w:t>
      </w:r>
      <w:r>
        <w:rPr>
          <w:rFonts w:ascii="Arial" w:hAnsi="Arial" w:cs="Arial"/>
          <w:sz w:val="24"/>
        </w:rPr>
        <w:t xml:space="preserve"> des Referats muss spätestens </w:t>
      </w:r>
      <w:r w:rsidRPr="001C1DDE">
        <w:rPr>
          <w:rFonts w:ascii="Arial" w:hAnsi="Arial" w:cs="Arial"/>
          <w:sz w:val="24"/>
          <w:u w:val="single"/>
        </w:rPr>
        <w:t xml:space="preserve">zwei Wochen </w:t>
      </w:r>
      <w:r w:rsidRPr="001C1DDE">
        <w:rPr>
          <w:rFonts w:ascii="Arial" w:hAnsi="Arial" w:cs="Arial"/>
          <w:b/>
          <w:bCs/>
          <w:sz w:val="24"/>
          <w:u w:val="single"/>
        </w:rPr>
        <w:t>vor</w:t>
      </w:r>
      <w:r w:rsidRPr="001C1DDE">
        <w:rPr>
          <w:rFonts w:ascii="Arial" w:hAnsi="Arial" w:cs="Arial"/>
          <w:sz w:val="24"/>
          <w:u w:val="single"/>
        </w:rPr>
        <w:t xml:space="preserve"> dem Vortragstermin</w:t>
      </w:r>
      <w:r>
        <w:rPr>
          <w:rFonts w:ascii="Arial" w:hAnsi="Arial" w:cs="Arial"/>
          <w:sz w:val="24"/>
        </w:rPr>
        <w:t xml:space="preserve"> eingereicht werden. Die Arbeiten </w:t>
      </w:r>
      <w:r>
        <w:rPr>
          <w:rFonts w:ascii="Arial" w:hAnsi="Arial" w:cs="Arial"/>
          <w:sz w:val="24"/>
          <w:u w:val="single"/>
        </w:rPr>
        <w:t>dürfen einen Umfang von 20 Seiten nicht überschreiten</w:t>
      </w:r>
      <w:r>
        <w:rPr>
          <w:rFonts w:ascii="Arial" w:hAnsi="Arial" w:cs="Arial"/>
          <w:sz w:val="24"/>
        </w:rPr>
        <w:t xml:space="preserve"> (1,5 zeilig, Schriftgröße</w:t>
      </w:r>
      <w:r w:rsidRPr="006910AE">
        <w:rPr>
          <w:rFonts w:ascii="Arial" w:hAnsi="Arial" w:cs="Arial"/>
          <w:sz w:val="24"/>
        </w:rPr>
        <w:t xml:space="preserve"> 12) haben und müssen in zweifacher Ausfertigung abgegeben werden.</w:t>
      </w:r>
    </w:p>
    <w:p w:rsidR="00005FA2" w:rsidRPr="000738AF"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u w:val="single"/>
        </w:rPr>
        <w:t xml:space="preserve">Über die formellen Kriterien der schriftlichen Arbeit (Quellenangaben, Zitierweise etc.) gibt z.B. das im Netz liegende Skript von Herrn Dees Auskunft (Institutshomepage </w:t>
      </w:r>
      <w:r>
        <w:rPr>
          <w:rFonts w:ascii="Symbol" w:hAnsi="Symbol"/>
          <w:sz w:val="24"/>
          <w:u w:val="single"/>
        </w:rPr>
        <w:sym w:font="Symbol" w:char="F0AE"/>
      </w:r>
      <w:r>
        <w:rPr>
          <w:rFonts w:ascii="Arial" w:hAnsi="Arial" w:cs="Arial"/>
          <w:sz w:val="24"/>
          <w:u w:val="single"/>
        </w:rPr>
        <w:t xml:space="preserve">Skripte). </w:t>
      </w:r>
      <w:r>
        <w:rPr>
          <w:rFonts w:ascii="Arial" w:hAnsi="Arial" w:cs="Arial"/>
          <w:sz w:val="24"/>
        </w:rPr>
        <w:t>Sollte ein Thema mehrfach besetzt sein, wird es inhaltlich aufgeteilt. Die Verfasser der einzelnen Teile müssen klar ersichtlich sein.</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 xml:space="preserve">Die wichtigsten Aussagen zum Thema müssen in einem </w:t>
      </w:r>
      <w:r>
        <w:rPr>
          <w:rFonts w:ascii="Arial" w:hAnsi="Arial" w:cs="Arial"/>
          <w:b/>
          <w:bCs/>
          <w:sz w:val="24"/>
        </w:rPr>
        <w:t>Thesenpapier</w:t>
      </w:r>
      <w:r>
        <w:rPr>
          <w:rFonts w:ascii="Arial" w:hAnsi="Arial" w:cs="Arial"/>
          <w:sz w:val="24"/>
        </w:rPr>
        <w:t xml:space="preserve"> zusammengefasst werden (2-4 Seiten; zusätzlich: Hochladen der Präsentation auf StudOn).</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lastRenderedPageBreak/>
        <w:t xml:space="preserve">Die Vorträge </w:t>
      </w:r>
      <w:r>
        <w:rPr>
          <w:rFonts w:ascii="Arial" w:hAnsi="Arial" w:cs="Arial"/>
          <w:b/>
          <w:bCs/>
          <w:sz w:val="24"/>
          <w:u w:val="single"/>
        </w:rPr>
        <w:t>sollten eine Dauer von etwa 40 bis 60 Minuten</w:t>
      </w:r>
      <w:r>
        <w:rPr>
          <w:rFonts w:ascii="Arial" w:hAnsi="Arial" w:cs="Arial"/>
          <w:sz w:val="24"/>
        </w:rPr>
        <w:t xml:space="preserve"> nicht überschreiten und sollten möglichst frei gehalten werden. </w:t>
      </w:r>
    </w:p>
    <w:p w:rsidR="00005FA2"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005FA2" w:rsidRPr="005E0771"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rPr>
      </w:pPr>
      <w:r w:rsidRPr="005E0771">
        <w:rPr>
          <w:rFonts w:ascii="Arial" w:hAnsi="Arial" w:cs="Arial"/>
          <w:bCs/>
          <w:sz w:val="24"/>
        </w:rPr>
        <w:t>Die Gliederung der schriftlichen Arbeit kann frühzeitig mit dem Dozenten abgesprochen werden. Setzen Sie sich mit ihm in Verbindung, bevor Sie mit dem Schreiben beginnen.</w:t>
      </w:r>
    </w:p>
    <w:p w:rsidR="00005FA2" w:rsidRPr="005E0771" w:rsidRDefault="00005FA2"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sz w:val="24"/>
        </w:rPr>
      </w:pPr>
      <w:r w:rsidRPr="005E0771">
        <w:rPr>
          <w:rFonts w:ascii="Arial" w:hAnsi="Arial" w:cs="Arial"/>
          <w:bCs/>
          <w:sz w:val="24"/>
        </w:rPr>
        <w:t>Kontaktaufnahme:</w:t>
      </w:r>
      <w:r w:rsidR="005E0771" w:rsidRPr="005E0771">
        <w:rPr>
          <w:rFonts w:ascii="Arial" w:hAnsi="Arial" w:cs="Arial"/>
          <w:bCs/>
          <w:sz w:val="24"/>
        </w:rPr>
        <w:t xml:space="preserve"> </w:t>
      </w:r>
      <w:r w:rsidRPr="005E0771">
        <w:rPr>
          <w:rFonts w:ascii="Arial" w:hAnsi="Arial" w:cs="Arial"/>
          <w:bCs/>
          <w:sz w:val="24"/>
        </w:rPr>
        <w:t xml:space="preserve"> Siehe Sprechstunden auf der Institutshomepage</w:t>
      </w:r>
    </w:p>
    <w:p w:rsidR="005E0771" w:rsidRDefault="005E0771" w:rsidP="005E0771">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5E0771" w:rsidRDefault="005E0771" w:rsidP="005E0771">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5E0771" w:rsidRPr="005658EE" w:rsidRDefault="005E0771" w:rsidP="005E0771">
      <w:pPr>
        <w:pStyle w:val="Textkrper"/>
        <w:rPr>
          <w:rFonts w:ascii="Arial" w:hAnsi="Arial" w:cs="Arial"/>
          <w:szCs w:val="24"/>
          <w:u w:val="single"/>
        </w:rPr>
      </w:pPr>
      <w:r w:rsidRPr="005658EE">
        <w:rPr>
          <w:rFonts w:ascii="Arial" w:hAnsi="Arial" w:cs="Arial"/>
          <w:szCs w:val="24"/>
          <w:u w:val="single"/>
        </w:rPr>
        <w:t>Anmeldung:</w:t>
      </w:r>
    </w:p>
    <w:p w:rsidR="005E0771" w:rsidRPr="00790D1D" w:rsidRDefault="005E0771" w:rsidP="005E0771">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r>
        <w:rPr>
          <w:rFonts w:ascii="Arial" w:hAnsi="Arial" w:cs="Arial"/>
          <w:sz w:val="24"/>
        </w:rPr>
        <w:t>Die Anmeldung zum Haupt</w:t>
      </w:r>
      <w:r w:rsidRPr="005658EE">
        <w:rPr>
          <w:rFonts w:ascii="Arial" w:hAnsi="Arial" w:cs="Arial"/>
          <w:sz w:val="24"/>
        </w:rPr>
        <w:t xml:space="preserve">seminar erfolgt ab </w:t>
      </w:r>
      <w:r w:rsidR="00BA5395">
        <w:rPr>
          <w:rFonts w:ascii="Arial" w:hAnsi="Arial" w:cs="Arial"/>
          <w:b/>
          <w:sz w:val="24"/>
        </w:rPr>
        <w:t>Montag, 13.02.2023</w:t>
      </w:r>
      <w:r>
        <w:rPr>
          <w:rFonts w:ascii="Arial" w:hAnsi="Arial" w:cs="Arial"/>
          <w:sz w:val="24"/>
        </w:rPr>
        <w:t>, 20:00 Uhr bis Freitag</w:t>
      </w:r>
      <w:r w:rsidRPr="00E1018E">
        <w:rPr>
          <w:rFonts w:ascii="Arial" w:hAnsi="Arial" w:cs="Arial"/>
          <w:b/>
          <w:sz w:val="24"/>
        </w:rPr>
        <w:t xml:space="preserve">, </w:t>
      </w:r>
      <w:r w:rsidR="00BA5395">
        <w:rPr>
          <w:rFonts w:ascii="Arial" w:hAnsi="Arial" w:cs="Arial"/>
          <w:b/>
          <w:sz w:val="24"/>
        </w:rPr>
        <w:t>03.03.2023</w:t>
      </w:r>
      <w:r>
        <w:rPr>
          <w:rFonts w:ascii="Arial" w:hAnsi="Arial" w:cs="Arial"/>
          <w:sz w:val="24"/>
        </w:rPr>
        <w:t>, 20:00 Uhr über StudOn</w:t>
      </w:r>
      <w:r w:rsidRPr="00790D1D">
        <w:rPr>
          <w:rFonts w:ascii="Arial" w:hAnsi="Arial" w:cs="Arial"/>
          <w:sz w:val="24"/>
        </w:rPr>
        <w:t>.</w:t>
      </w:r>
    </w:p>
    <w:p w:rsidR="005E0771" w:rsidRPr="005658EE" w:rsidRDefault="005E0771" w:rsidP="005E0771">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rPr>
      </w:pPr>
    </w:p>
    <w:p w:rsidR="005E0771" w:rsidRDefault="005E0771" w:rsidP="005E0771">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u w:val="single"/>
        </w:rPr>
      </w:pPr>
      <w:r w:rsidRPr="004B5ED3">
        <w:rPr>
          <w:rFonts w:ascii="Arial" w:hAnsi="Arial" w:cs="Arial"/>
          <w:b/>
          <w:sz w:val="24"/>
          <w:u w:val="single"/>
        </w:rPr>
        <w:t>Themenvergabe</w:t>
      </w:r>
      <w:r>
        <w:rPr>
          <w:rFonts w:ascii="Arial" w:hAnsi="Arial" w:cs="Arial"/>
          <w:b/>
          <w:sz w:val="24"/>
          <w:u w:val="single"/>
        </w:rPr>
        <w:t xml:space="preserve"> für das Hauptseminar</w:t>
      </w:r>
      <w:r w:rsidRPr="004B5ED3">
        <w:rPr>
          <w:rFonts w:ascii="Arial" w:hAnsi="Arial" w:cs="Arial"/>
          <w:b/>
          <w:sz w:val="24"/>
          <w:u w:val="single"/>
        </w:rPr>
        <w:t>:</w:t>
      </w:r>
    </w:p>
    <w:p w:rsidR="005E0771" w:rsidRDefault="005E0771" w:rsidP="005E0771">
      <w:pPr>
        <w:rPr>
          <w:rFonts w:ascii="Times New Roman" w:hAnsi="Times New Roman" w:cs="Times New Roman"/>
          <w:sz w:val="28"/>
          <w:szCs w:val="28"/>
        </w:rPr>
      </w:pPr>
      <w:r>
        <w:rPr>
          <w:rFonts w:ascii="Arial" w:hAnsi="Arial" w:cs="Arial"/>
          <w:sz w:val="24"/>
        </w:rPr>
        <w:t>Per Mail nach Ende des Anmeldezeitraums. Es können drei Wunschthemen genannt werden; die Zuteilung eines dieser Themen kann aber nicht garantiert werden.</w:t>
      </w:r>
    </w:p>
    <w:p w:rsidR="005E0771" w:rsidRDefault="005E0771"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rPr>
      </w:pPr>
    </w:p>
    <w:p w:rsidR="005E0771" w:rsidRDefault="005E0771"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rPr>
      </w:pPr>
    </w:p>
    <w:p w:rsidR="005E0771" w:rsidRDefault="005E0771" w:rsidP="00005FA2">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rPr>
        <w:sectPr w:rsidR="005E0771">
          <w:footerReference w:type="even" r:id="rId7"/>
          <w:footerReference w:type="default" r:id="rId8"/>
          <w:endnotePr>
            <w:numFmt w:val="decimal"/>
          </w:endnotePr>
          <w:pgSz w:w="11904" w:h="16836"/>
          <w:pgMar w:top="992" w:right="1440" w:bottom="1440" w:left="1440" w:header="992" w:footer="1440" w:gutter="0"/>
          <w:cols w:space="720"/>
          <w:noEndnote/>
          <w:titlePg/>
        </w:sectPr>
      </w:pPr>
    </w:p>
    <w:p w:rsidR="00430B78" w:rsidRPr="00333A47" w:rsidRDefault="007C6572" w:rsidP="00430B78">
      <w:pPr>
        <w:rPr>
          <w:rFonts w:ascii="Times New Roman" w:hAnsi="Times New Roman" w:cs="Times New Roman"/>
          <w:sz w:val="28"/>
          <w:szCs w:val="28"/>
        </w:rPr>
      </w:pPr>
      <w:r>
        <w:rPr>
          <w:rFonts w:ascii="Times New Roman" w:hAnsi="Times New Roman" w:cs="Times New Roman"/>
          <w:sz w:val="28"/>
          <w:szCs w:val="28"/>
        </w:rPr>
        <w:lastRenderedPageBreak/>
        <w:t>Sommersemester 2023</w:t>
      </w:r>
      <w:r w:rsidR="00430B78" w:rsidRPr="00333A47">
        <w:rPr>
          <w:rFonts w:ascii="Times New Roman" w:hAnsi="Times New Roman" w:cs="Times New Roman"/>
          <w:sz w:val="28"/>
          <w:szCs w:val="28"/>
        </w:rPr>
        <w:tab/>
      </w:r>
      <w:r w:rsidR="00430B78" w:rsidRPr="00333A47">
        <w:rPr>
          <w:rFonts w:ascii="Times New Roman" w:hAnsi="Times New Roman" w:cs="Times New Roman"/>
          <w:sz w:val="28"/>
          <w:szCs w:val="28"/>
        </w:rPr>
        <w:tab/>
      </w:r>
      <w:r w:rsidR="00430B78" w:rsidRPr="00333A47">
        <w:rPr>
          <w:rFonts w:ascii="Times New Roman" w:hAnsi="Times New Roman" w:cs="Times New Roman"/>
          <w:sz w:val="28"/>
          <w:szCs w:val="28"/>
        </w:rPr>
        <w:tab/>
      </w:r>
      <w:r w:rsidR="00430B78" w:rsidRPr="00333A47">
        <w:rPr>
          <w:rFonts w:ascii="Times New Roman" w:hAnsi="Times New Roman" w:cs="Times New Roman"/>
          <w:sz w:val="28"/>
          <w:szCs w:val="28"/>
        </w:rPr>
        <w:tab/>
      </w:r>
      <w:r w:rsidR="00430B78" w:rsidRPr="00333A47">
        <w:rPr>
          <w:rFonts w:ascii="Times New Roman" w:hAnsi="Times New Roman" w:cs="Times New Roman"/>
          <w:sz w:val="28"/>
          <w:szCs w:val="28"/>
        </w:rPr>
        <w:tab/>
      </w:r>
      <w:r w:rsidR="00430B78" w:rsidRPr="00333A47">
        <w:rPr>
          <w:rFonts w:ascii="Times New Roman" w:hAnsi="Times New Roman" w:cs="Times New Roman"/>
          <w:sz w:val="28"/>
          <w:szCs w:val="28"/>
        </w:rPr>
        <w:tab/>
      </w:r>
      <w:r w:rsidR="00430B78">
        <w:rPr>
          <w:rFonts w:ascii="Times New Roman" w:hAnsi="Times New Roman" w:cs="Times New Roman"/>
          <w:sz w:val="28"/>
          <w:szCs w:val="28"/>
        </w:rPr>
        <w:tab/>
      </w:r>
      <w:r w:rsidR="00430B78" w:rsidRPr="00333A47">
        <w:rPr>
          <w:rFonts w:ascii="Times New Roman" w:hAnsi="Times New Roman" w:cs="Times New Roman"/>
          <w:sz w:val="28"/>
          <w:szCs w:val="28"/>
        </w:rPr>
        <w:t>Dr. Ralf Pohl</w:t>
      </w:r>
    </w:p>
    <w:p w:rsidR="003267F0" w:rsidRDefault="003267F0" w:rsidP="00430B78">
      <w:pPr>
        <w:jc w:val="center"/>
        <w:rPr>
          <w:rFonts w:ascii="Times New Roman" w:hAnsi="Times New Roman" w:cs="Times New Roman"/>
          <w:b/>
          <w:sz w:val="28"/>
          <w:szCs w:val="28"/>
        </w:rPr>
      </w:pPr>
    </w:p>
    <w:p w:rsidR="00430B78" w:rsidRPr="00333A47" w:rsidRDefault="00430B78" w:rsidP="00430B78">
      <w:pPr>
        <w:jc w:val="center"/>
        <w:rPr>
          <w:rFonts w:ascii="Times New Roman" w:hAnsi="Times New Roman" w:cs="Times New Roman"/>
          <w:b/>
          <w:sz w:val="28"/>
          <w:szCs w:val="28"/>
        </w:rPr>
      </w:pPr>
      <w:r w:rsidRPr="00333A47">
        <w:rPr>
          <w:rFonts w:ascii="Times New Roman" w:hAnsi="Times New Roman" w:cs="Times New Roman"/>
          <w:b/>
          <w:sz w:val="28"/>
          <w:szCs w:val="28"/>
        </w:rPr>
        <w:t>VWL – Hauptseminar: Arbeitsmarktpolitik</w:t>
      </w:r>
    </w:p>
    <w:p w:rsidR="003267F0" w:rsidRDefault="003267F0" w:rsidP="00430B78">
      <w:pPr>
        <w:rPr>
          <w:rFonts w:ascii="Times New Roman" w:hAnsi="Times New Roman" w:cs="Times New Roman"/>
          <w:sz w:val="24"/>
          <w:szCs w:val="24"/>
        </w:rPr>
      </w:pPr>
    </w:p>
    <w:p w:rsidR="00653720" w:rsidRDefault="00653720" w:rsidP="00430B78">
      <w:pPr>
        <w:rPr>
          <w:rFonts w:ascii="Times New Roman" w:hAnsi="Times New Roman" w:cs="Times New Roman"/>
          <w:sz w:val="24"/>
          <w:szCs w:val="24"/>
        </w:rPr>
      </w:pP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 1</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26.04.23</w:t>
      </w:r>
    </w:p>
    <w:p w:rsidR="00430B78" w:rsidRPr="00653720" w:rsidRDefault="00430B78" w:rsidP="00430B78">
      <w:pPr>
        <w:rPr>
          <w:rFonts w:ascii="Times New Roman" w:hAnsi="Times New Roman" w:cs="Times New Roman"/>
          <w:b/>
        </w:rPr>
      </w:pPr>
      <w:r w:rsidRPr="00653720">
        <w:rPr>
          <w:rFonts w:ascii="Times New Roman" w:hAnsi="Times New Roman" w:cs="Times New Roman"/>
          <w:b/>
        </w:rPr>
        <w:t>Die Arbeitslo</w:t>
      </w:r>
      <w:r w:rsidR="00F00396" w:rsidRPr="00653720">
        <w:rPr>
          <w:rFonts w:ascii="Times New Roman" w:hAnsi="Times New Roman" w:cs="Times New Roman"/>
          <w:b/>
        </w:rPr>
        <w:t>senversicherung in Deutschland (</w:t>
      </w:r>
      <w:r w:rsidRPr="00653720">
        <w:rPr>
          <w:rFonts w:ascii="Times New Roman" w:hAnsi="Times New Roman" w:cs="Times New Roman"/>
          <w:b/>
        </w:rPr>
        <w:t xml:space="preserve">Grundstrukturen, Leistungen, </w:t>
      </w:r>
      <w:r w:rsidR="00F00396" w:rsidRPr="00653720">
        <w:rPr>
          <w:rFonts w:ascii="Times New Roman" w:hAnsi="Times New Roman" w:cs="Times New Roman"/>
          <w:b/>
        </w:rPr>
        <w:t xml:space="preserve">Finanzierung, </w:t>
      </w:r>
      <w:r w:rsidRPr="00653720">
        <w:rPr>
          <w:rFonts w:ascii="Times New Roman" w:hAnsi="Times New Roman" w:cs="Times New Roman"/>
          <w:b/>
        </w:rPr>
        <w:t>Wirkungen und Kontroversen</w:t>
      </w:r>
      <w:r w:rsidR="00F00396" w:rsidRPr="00653720">
        <w:rPr>
          <w:rFonts w:ascii="Times New Roman" w:hAnsi="Times New Roman" w:cs="Times New Roman"/>
          <w:b/>
        </w:rPr>
        <w:t>)</w:t>
      </w:r>
    </w:p>
    <w:p w:rsidR="00430B78" w:rsidRPr="00653720" w:rsidRDefault="00430B78" w:rsidP="00430B78">
      <w:pPr>
        <w:pStyle w:val="Listenabsatz"/>
        <w:numPr>
          <w:ilvl w:val="0"/>
          <w:numId w:val="1"/>
        </w:numPr>
        <w:rPr>
          <w:rFonts w:ascii="Times New Roman" w:hAnsi="Times New Roman" w:cs="Times New Roman"/>
        </w:rPr>
      </w:pPr>
      <w:r w:rsidRPr="00653720">
        <w:rPr>
          <w:rFonts w:ascii="Times New Roman" w:hAnsi="Times New Roman" w:cs="Times New Roman"/>
        </w:rPr>
        <w:t>Hausner, K.H. und Weber, E.: Einnahmen und Ausgaben der Arbeitslosen</w:t>
      </w:r>
      <w:r w:rsidR="00653720" w:rsidRPr="00653720">
        <w:rPr>
          <w:rFonts w:ascii="Times New Roman" w:hAnsi="Times New Roman" w:cs="Times New Roman"/>
        </w:rPr>
        <w:softHyphen/>
      </w:r>
      <w:r w:rsidRPr="00653720">
        <w:rPr>
          <w:rFonts w:ascii="Times New Roman" w:hAnsi="Times New Roman" w:cs="Times New Roman"/>
        </w:rPr>
        <w:t>versicherung: BA – Haushalt stabilisiert die Konjunktur, IAB – Kurzbericht 03/2017</w:t>
      </w:r>
    </w:p>
    <w:p w:rsidR="0078484A" w:rsidRPr="00653720" w:rsidRDefault="0078484A" w:rsidP="00430B78">
      <w:pPr>
        <w:rPr>
          <w:rFonts w:ascii="Times New Roman" w:hAnsi="Times New Roman" w:cs="Times New Roman"/>
        </w:rPr>
      </w:pPr>
      <w:r w:rsidRPr="00653720">
        <w:rPr>
          <w:rFonts w:ascii="Times New Roman" w:hAnsi="Times New Roman" w:cs="Times New Roman"/>
          <w:u w:val="single"/>
        </w:rPr>
        <w:t>Thema 2</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03.05.23</w:t>
      </w:r>
      <w:r w:rsidR="0012700B" w:rsidRPr="00653720">
        <w:rPr>
          <w:rFonts w:ascii="Times New Roman" w:hAnsi="Times New Roman" w:cs="Times New Roman"/>
        </w:rPr>
        <w:tab/>
      </w:r>
    </w:p>
    <w:p w:rsidR="0078484A" w:rsidRPr="00653720" w:rsidRDefault="0078484A" w:rsidP="00730E34">
      <w:pPr>
        <w:rPr>
          <w:rFonts w:ascii="Times New Roman" w:hAnsi="Times New Roman" w:cs="Times New Roman"/>
          <w:b/>
        </w:rPr>
      </w:pPr>
      <w:r w:rsidRPr="00653720">
        <w:rPr>
          <w:rFonts w:ascii="Times New Roman" w:hAnsi="Times New Roman" w:cs="Times New Roman"/>
          <w:b/>
        </w:rPr>
        <w:t>Arten, Messung und Folgen von Arbeitslosigkeit</w:t>
      </w:r>
      <w:r w:rsidR="0012700B" w:rsidRPr="00653720">
        <w:rPr>
          <w:rFonts w:ascii="Times New Roman" w:hAnsi="Times New Roman" w:cs="Times New Roman"/>
          <w:b/>
        </w:rPr>
        <w:tab/>
      </w:r>
      <w:r w:rsidR="0012700B" w:rsidRPr="00653720">
        <w:rPr>
          <w:rFonts w:ascii="Times New Roman" w:hAnsi="Times New Roman" w:cs="Times New Roman"/>
          <w:b/>
        </w:rPr>
        <w:tab/>
      </w:r>
      <w:r w:rsidR="0012700B" w:rsidRPr="00653720">
        <w:rPr>
          <w:rFonts w:ascii="Times New Roman" w:hAnsi="Times New Roman" w:cs="Times New Roman"/>
          <w:b/>
        </w:rPr>
        <w:tab/>
      </w:r>
      <w:r w:rsidR="0012700B" w:rsidRPr="00653720">
        <w:rPr>
          <w:rFonts w:ascii="Times New Roman" w:hAnsi="Times New Roman" w:cs="Times New Roman"/>
          <w:b/>
        </w:rPr>
        <w:tab/>
      </w:r>
    </w:p>
    <w:p w:rsidR="00452EFE" w:rsidRPr="00653720" w:rsidRDefault="0078484A" w:rsidP="00730E34">
      <w:pPr>
        <w:pStyle w:val="Listenabsatz"/>
        <w:numPr>
          <w:ilvl w:val="0"/>
          <w:numId w:val="1"/>
        </w:numPr>
        <w:rPr>
          <w:rFonts w:ascii="Times New Roman" w:hAnsi="Times New Roman" w:cs="Times New Roman"/>
        </w:rPr>
      </w:pPr>
      <w:r w:rsidRPr="00653720">
        <w:rPr>
          <w:rFonts w:ascii="Times New Roman" w:hAnsi="Times New Roman" w:cs="Times New Roman"/>
        </w:rPr>
        <w:t>Beckmann, F. und Spohr, F.: Arbeitsmarkt und Arbeitsmarktpolitik: Grundlagen, Wandel, Zukunftsperspektiven, München 2022</w:t>
      </w:r>
    </w:p>
    <w:p w:rsidR="00452EFE" w:rsidRPr="00653720" w:rsidRDefault="00452EFE" w:rsidP="00430B78">
      <w:pPr>
        <w:rPr>
          <w:rFonts w:ascii="Times New Roman" w:hAnsi="Times New Roman" w:cs="Times New Roman"/>
        </w:rPr>
      </w:pPr>
      <w:r w:rsidRPr="00653720">
        <w:rPr>
          <w:rFonts w:ascii="Times New Roman" w:hAnsi="Times New Roman" w:cs="Times New Roman"/>
          <w:u w:val="single"/>
        </w:rPr>
        <w:t>Thema 3</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10.05.23</w:t>
      </w:r>
    </w:p>
    <w:p w:rsidR="00452EFE" w:rsidRPr="00653720" w:rsidRDefault="00452EFE" w:rsidP="00430B78">
      <w:pPr>
        <w:rPr>
          <w:rFonts w:ascii="Times New Roman" w:hAnsi="Times New Roman" w:cs="Times New Roman"/>
          <w:b/>
        </w:rPr>
      </w:pPr>
      <w:r w:rsidRPr="00653720">
        <w:rPr>
          <w:rFonts w:ascii="Times New Roman" w:hAnsi="Times New Roman" w:cs="Times New Roman"/>
          <w:b/>
        </w:rPr>
        <w:t>Der gesetzliche Mindestlohn in Deutschland</w:t>
      </w:r>
    </w:p>
    <w:p w:rsidR="0078484A" w:rsidRPr="00653720" w:rsidRDefault="00452EFE" w:rsidP="00730E34">
      <w:pPr>
        <w:pStyle w:val="Listenabsatz"/>
        <w:numPr>
          <w:ilvl w:val="0"/>
          <w:numId w:val="1"/>
        </w:numPr>
        <w:rPr>
          <w:rFonts w:ascii="Times New Roman" w:hAnsi="Times New Roman" w:cs="Times New Roman"/>
        </w:rPr>
      </w:pPr>
      <w:r w:rsidRPr="00653720">
        <w:rPr>
          <w:rFonts w:ascii="Times New Roman" w:hAnsi="Times New Roman" w:cs="Times New Roman"/>
        </w:rPr>
        <w:t>Börschlein, E.B. et al.: Mindestlohnerhöhung im Oktober 2022: 12 Euro Mindestlohn betreffen mehr als jeden fünften Job, IAB-Kurzbericht 12/2022</w:t>
      </w:r>
      <w:r w:rsidR="0078484A" w:rsidRPr="00653720">
        <w:rPr>
          <w:rFonts w:ascii="Times New Roman" w:hAnsi="Times New Roman" w:cs="Times New Roman"/>
        </w:rPr>
        <w:t xml:space="preserve"> </w:t>
      </w:r>
    </w:p>
    <w:p w:rsidR="00430B78" w:rsidRPr="00653720" w:rsidRDefault="00452EFE" w:rsidP="00430B78">
      <w:pPr>
        <w:rPr>
          <w:rFonts w:ascii="Times New Roman" w:hAnsi="Times New Roman" w:cs="Times New Roman"/>
        </w:rPr>
      </w:pPr>
      <w:r w:rsidRPr="00653720">
        <w:rPr>
          <w:rFonts w:ascii="Times New Roman" w:hAnsi="Times New Roman" w:cs="Times New Roman"/>
          <w:u w:val="single"/>
        </w:rPr>
        <w:t>Thema 4</w:t>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12700B" w:rsidRPr="00653720">
        <w:rPr>
          <w:rFonts w:ascii="Times New Roman" w:hAnsi="Times New Roman" w:cs="Times New Roman"/>
        </w:rPr>
        <w:t>17.05.23</w:t>
      </w:r>
    </w:p>
    <w:p w:rsidR="00430B78" w:rsidRPr="00653720" w:rsidRDefault="00452EFE" w:rsidP="00430B78">
      <w:pPr>
        <w:rPr>
          <w:rFonts w:ascii="Times New Roman" w:hAnsi="Times New Roman" w:cs="Times New Roman"/>
          <w:b/>
        </w:rPr>
      </w:pPr>
      <w:r w:rsidRPr="00653720">
        <w:rPr>
          <w:rFonts w:ascii="Times New Roman" w:hAnsi="Times New Roman" w:cs="Times New Roman"/>
          <w:b/>
        </w:rPr>
        <w:t>Vom Arbeitslosengeld II zum</w:t>
      </w:r>
      <w:r w:rsidR="003205B6" w:rsidRPr="00653720">
        <w:rPr>
          <w:rFonts w:ascii="Times New Roman" w:hAnsi="Times New Roman" w:cs="Times New Roman"/>
          <w:b/>
        </w:rPr>
        <w:t xml:space="preserve"> Bürgergeld</w:t>
      </w:r>
    </w:p>
    <w:p w:rsidR="00430B78" w:rsidRPr="00653720" w:rsidRDefault="003205B6" w:rsidP="00430B78">
      <w:pPr>
        <w:pStyle w:val="Listenabsatz"/>
        <w:numPr>
          <w:ilvl w:val="0"/>
          <w:numId w:val="1"/>
        </w:numPr>
        <w:rPr>
          <w:rFonts w:ascii="Times New Roman" w:hAnsi="Times New Roman" w:cs="Times New Roman"/>
        </w:rPr>
      </w:pPr>
      <w:r w:rsidRPr="00653720">
        <w:rPr>
          <w:rFonts w:ascii="Times New Roman" w:hAnsi="Times New Roman" w:cs="Times New Roman"/>
        </w:rPr>
        <w:t>Butterwegge, C.: Das geplante Bürgergeld: Abschaffung oder Abmilderung von Hartz IV? Soziale Sicherheit 10/2022, S. 372 - 378</w:t>
      </w: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w:t>
      </w:r>
      <w:r w:rsidR="00452EFE" w:rsidRPr="00653720">
        <w:rPr>
          <w:rFonts w:ascii="Times New Roman" w:hAnsi="Times New Roman" w:cs="Times New Roman"/>
          <w:u w:val="single"/>
        </w:rPr>
        <w:t xml:space="preserve"> 5</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24.05.23</w:t>
      </w:r>
    </w:p>
    <w:p w:rsidR="00430B78" w:rsidRPr="00653720" w:rsidRDefault="00430B78" w:rsidP="00430B78">
      <w:pPr>
        <w:rPr>
          <w:rFonts w:ascii="Times New Roman" w:hAnsi="Times New Roman" w:cs="Times New Roman"/>
          <w:b/>
        </w:rPr>
      </w:pPr>
      <w:r w:rsidRPr="00653720">
        <w:rPr>
          <w:rFonts w:ascii="Times New Roman" w:hAnsi="Times New Roman" w:cs="Times New Roman"/>
          <w:b/>
        </w:rPr>
        <w:t>Das bedingungslose Grundeinkommen als neue Art der Grundsicherung?</w:t>
      </w:r>
    </w:p>
    <w:p w:rsidR="0078484A" w:rsidRPr="00653720" w:rsidRDefault="00430B78" w:rsidP="00430B78">
      <w:pPr>
        <w:pStyle w:val="Listenabsatz"/>
        <w:numPr>
          <w:ilvl w:val="0"/>
          <w:numId w:val="1"/>
        </w:numPr>
        <w:rPr>
          <w:rFonts w:ascii="Times New Roman" w:hAnsi="Times New Roman" w:cs="Times New Roman"/>
        </w:rPr>
      </w:pPr>
      <w:r w:rsidRPr="00653720">
        <w:rPr>
          <w:rFonts w:ascii="Times New Roman" w:hAnsi="Times New Roman" w:cs="Times New Roman"/>
        </w:rPr>
        <w:t xml:space="preserve">Straubhaar, T.: Radikal gerecht: Wie das bedingungslose Grundeinkommen den Sozialstaat revolutioniert, Hamburg 2017 </w:t>
      </w:r>
    </w:p>
    <w:p w:rsidR="00653720" w:rsidRPr="00653720" w:rsidRDefault="00653720" w:rsidP="00430B78">
      <w:pPr>
        <w:rPr>
          <w:rFonts w:ascii="Times New Roman" w:hAnsi="Times New Roman" w:cs="Times New Roman"/>
          <w:u w:val="single"/>
        </w:rPr>
      </w:pPr>
    </w:p>
    <w:p w:rsidR="00653720" w:rsidRDefault="00653720" w:rsidP="00430B78">
      <w:pPr>
        <w:rPr>
          <w:rFonts w:ascii="Times New Roman" w:hAnsi="Times New Roman" w:cs="Times New Roman"/>
          <w:u w:val="single"/>
        </w:rPr>
      </w:pPr>
    </w:p>
    <w:p w:rsidR="0078484A" w:rsidRPr="00653720" w:rsidRDefault="00452EFE" w:rsidP="00430B78">
      <w:pPr>
        <w:rPr>
          <w:rFonts w:ascii="Times New Roman" w:hAnsi="Times New Roman" w:cs="Times New Roman"/>
        </w:rPr>
      </w:pPr>
      <w:r w:rsidRPr="00653720">
        <w:rPr>
          <w:rFonts w:ascii="Times New Roman" w:hAnsi="Times New Roman" w:cs="Times New Roman"/>
          <w:u w:val="single"/>
        </w:rPr>
        <w:lastRenderedPageBreak/>
        <w:t>Thema 6</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31.05.23</w:t>
      </w:r>
    </w:p>
    <w:p w:rsidR="0078484A" w:rsidRPr="00653720" w:rsidRDefault="00601DEB" w:rsidP="00430B78">
      <w:pPr>
        <w:rPr>
          <w:rFonts w:ascii="Times New Roman" w:hAnsi="Times New Roman" w:cs="Times New Roman"/>
          <w:b/>
        </w:rPr>
      </w:pPr>
      <w:r w:rsidRPr="00653720">
        <w:rPr>
          <w:rFonts w:ascii="Times New Roman" w:hAnsi="Times New Roman" w:cs="Times New Roman"/>
          <w:b/>
        </w:rPr>
        <w:t>Die Rolle der Arbeitsmark</w:t>
      </w:r>
      <w:r w:rsidR="00090BE3" w:rsidRPr="00653720">
        <w:rPr>
          <w:rFonts w:ascii="Times New Roman" w:hAnsi="Times New Roman" w:cs="Times New Roman"/>
          <w:b/>
        </w:rPr>
        <w:t xml:space="preserve">tpolitik </w:t>
      </w:r>
      <w:r w:rsidRPr="00653720">
        <w:rPr>
          <w:rFonts w:ascii="Times New Roman" w:hAnsi="Times New Roman" w:cs="Times New Roman"/>
          <w:b/>
        </w:rPr>
        <w:t>in der Corona-Krise</w:t>
      </w:r>
    </w:p>
    <w:p w:rsidR="00452EFE" w:rsidRPr="00653720" w:rsidRDefault="00090BE3" w:rsidP="00430B78">
      <w:pPr>
        <w:pStyle w:val="Listenabsatz"/>
        <w:numPr>
          <w:ilvl w:val="0"/>
          <w:numId w:val="1"/>
        </w:numPr>
        <w:rPr>
          <w:rFonts w:ascii="Times New Roman" w:hAnsi="Times New Roman" w:cs="Times New Roman"/>
        </w:rPr>
      </w:pPr>
      <w:r w:rsidRPr="00653720">
        <w:rPr>
          <w:rFonts w:ascii="Times New Roman" w:hAnsi="Times New Roman" w:cs="Times New Roman"/>
        </w:rPr>
        <w:t>Büttner, T. et al.: Arbeitsmarktpolitische Maßnahmen während der Covid-19- Pandemie, IAB-Kurzbericht 22/2022</w:t>
      </w: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w:t>
      </w:r>
      <w:r w:rsidR="00452EFE" w:rsidRPr="00653720">
        <w:rPr>
          <w:rFonts w:ascii="Times New Roman" w:hAnsi="Times New Roman" w:cs="Times New Roman"/>
          <w:u w:val="single"/>
        </w:rPr>
        <w:t xml:space="preserve"> 7</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07.06.23</w:t>
      </w:r>
    </w:p>
    <w:p w:rsidR="00430B78" w:rsidRPr="00653720" w:rsidRDefault="002727C0" w:rsidP="00430B78">
      <w:pPr>
        <w:rPr>
          <w:rFonts w:ascii="Times New Roman" w:hAnsi="Times New Roman" w:cs="Times New Roman"/>
          <w:b/>
        </w:rPr>
      </w:pPr>
      <w:r w:rsidRPr="00653720">
        <w:rPr>
          <w:rFonts w:ascii="Times New Roman" w:hAnsi="Times New Roman" w:cs="Times New Roman"/>
          <w:b/>
        </w:rPr>
        <w:t>Der Soziale</w:t>
      </w:r>
      <w:r w:rsidR="00430B78" w:rsidRPr="00653720">
        <w:rPr>
          <w:rFonts w:ascii="Times New Roman" w:hAnsi="Times New Roman" w:cs="Times New Roman"/>
          <w:b/>
        </w:rPr>
        <w:t xml:space="preserve"> Arbeitsmarkt für Langzeitarbeitslose</w:t>
      </w:r>
    </w:p>
    <w:p w:rsidR="00452EFE" w:rsidRPr="00653720" w:rsidRDefault="00763433" w:rsidP="00430B78">
      <w:pPr>
        <w:pStyle w:val="Listenabsatz"/>
        <w:numPr>
          <w:ilvl w:val="0"/>
          <w:numId w:val="1"/>
        </w:numPr>
        <w:rPr>
          <w:rFonts w:ascii="Times New Roman" w:hAnsi="Times New Roman" w:cs="Times New Roman"/>
        </w:rPr>
      </w:pPr>
      <w:r w:rsidRPr="00653720">
        <w:rPr>
          <w:rFonts w:ascii="Times New Roman" w:hAnsi="Times New Roman" w:cs="Times New Roman"/>
        </w:rPr>
        <w:t>Hofmann, T. und Aust, A.: Der Soziale Arbeitsmarkt braucht zukünftig eine bessere Finanzierung, Soziale Sicherheit 1/2022, S. 28 - 33</w:t>
      </w:r>
    </w:p>
    <w:p w:rsidR="00430B78" w:rsidRPr="00653720" w:rsidRDefault="00452EFE" w:rsidP="00430B78">
      <w:pPr>
        <w:rPr>
          <w:rFonts w:ascii="Times New Roman" w:hAnsi="Times New Roman" w:cs="Times New Roman"/>
        </w:rPr>
      </w:pPr>
      <w:r w:rsidRPr="00653720">
        <w:rPr>
          <w:rFonts w:ascii="Times New Roman" w:hAnsi="Times New Roman" w:cs="Times New Roman"/>
          <w:u w:val="single"/>
        </w:rPr>
        <w:t>Thema 8</w:t>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430B78" w:rsidRPr="00653720">
        <w:rPr>
          <w:rFonts w:ascii="Times New Roman" w:hAnsi="Times New Roman" w:cs="Times New Roman"/>
        </w:rPr>
        <w:tab/>
      </w:r>
      <w:r w:rsidR="0012700B" w:rsidRPr="00653720">
        <w:rPr>
          <w:rFonts w:ascii="Times New Roman" w:hAnsi="Times New Roman" w:cs="Times New Roman"/>
        </w:rPr>
        <w:t>14.06.23</w:t>
      </w:r>
    </w:p>
    <w:p w:rsidR="00763433" w:rsidRPr="00653720" w:rsidRDefault="00763433" w:rsidP="00763433">
      <w:pPr>
        <w:rPr>
          <w:rFonts w:ascii="Times New Roman" w:hAnsi="Times New Roman" w:cs="Times New Roman"/>
          <w:b/>
        </w:rPr>
      </w:pPr>
      <w:r w:rsidRPr="00653720">
        <w:rPr>
          <w:rFonts w:ascii="Times New Roman" w:hAnsi="Times New Roman" w:cs="Times New Roman"/>
          <w:b/>
        </w:rPr>
        <w:t>Der Gründungszuschuss für Arbeitslose als arbeitsmarktpolitisches Instrument</w:t>
      </w:r>
    </w:p>
    <w:p w:rsidR="00452EFE" w:rsidRPr="00653720" w:rsidRDefault="00763433" w:rsidP="00430B78">
      <w:pPr>
        <w:pStyle w:val="Listenabsatz"/>
        <w:numPr>
          <w:ilvl w:val="0"/>
          <w:numId w:val="1"/>
        </w:numPr>
        <w:rPr>
          <w:rFonts w:ascii="Times New Roman" w:hAnsi="Times New Roman" w:cs="Times New Roman"/>
        </w:rPr>
      </w:pPr>
      <w:r w:rsidRPr="00653720">
        <w:rPr>
          <w:rFonts w:ascii="Times New Roman" w:hAnsi="Times New Roman" w:cs="Times New Roman"/>
        </w:rPr>
        <w:t>Caliendo, M. und Tübbicke, S.: Der Gründungszuschuss für Arbeitslose nach der Reform 2011: Ein Erfolg wie seine Vorgänger, IAB-Kurzbericht 28/2021</w:t>
      </w:r>
      <w:r w:rsidR="00430B78" w:rsidRPr="00653720">
        <w:rPr>
          <w:rFonts w:ascii="Times New Roman" w:hAnsi="Times New Roman" w:cs="Times New Roman"/>
        </w:rPr>
        <w:tab/>
      </w: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 9</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21.06.23</w:t>
      </w:r>
    </w:p>
    <w:p w:rsidR="00430B78" w:rsidRPr="00653720" w:rsidRDefault="00452EFE" w:rsidP="00430B78">
      <w:pPr>
        <w:rPr>
          <w:rFonts w:ascii="Times New Roman" w:hAnsi="Times New Roman" w:cs="Times New Roman"/>
          <w:b/>
        </w:rPr>
      </w:pPr>
      <w:r w:rsidRPr="00653720">
        <w:rPr>
          <w:rFonts w:ascii="Times New Roman" w:hAnsi="Times New Roman" w:cs="Times New Roman"/>
          <w:b/>
        </w:rPr>
        <w:t>Die Rolle der Arbeitsmarktpolitik in der Transformation</w:t>
      </w:r>
    </w:p>
    <w:p w:rsidR="00452EFE" w:rsidRPr="00653720" w:rsidRDefault="00452EFE" w:rsidP="00430B78">
      <w:pPr>
        <w:pStyle w:val="Listenabsatz"/>
        <w:numPr>
          <w:ilvl w:val="0"/>
          <w:numId w:val="1"/>
        </w:numPr>
        <w:rPr>
          <w:rFonts w:ascii="Times New Roman" w:hAnsi="Times New Roman" w:cs="Times New Roman"/>
        </w:rPr>
      </w:pPr>
      <w:r w:rsidRPr="00653720">
        <w:rPr>
          <w:rFonts w:ascii="Times New Roman" w:hAnsi="Times New Roman" w:cs="Times New Roman"/>
        </w:rPr>
        <w:t xml:space="preserve">Knuth, M.: Arbeitsmarktpolitik in der Transformation, Soziale Sicherheit 8-9/2022, </w:t>
      </w:r>
      <w:r w:rsidR="0057394E" w:rsidRPr="00653720">
        <w:rPr>
          <w:rFonts w:ascii="Times New Roman" w:hAnsi="Times New Roman" w:cs="Times New Roman"/>
        </w:rPr>
        <w:t xml:space="preserve">  </w:t>
      </w:r>
      <w:r w:rsidRPr="00653720">
        <w:rPr>
          <w:rFonts w:ascii="Times New Roman" w:hAnsi="Times New Roman" w:cs="Times New Roman"/>
        </w:rPr>
        <w:t>S. 311 - 316</w:t>
      </w: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 10</w:t>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0012700B" w:rsidRPr="00653720">
        <w:rPr>
          <w:rFonts w:ascii="Times New Roman" w:hAnsi="Times New Roman" w:cs="Times New Roman"/>
        </w:rPr>
        <w:t>28.06.23</w:t>
      </w:r>
    </w:p>
    <w:p w:rsidR="00430B78" w:rsidRPr="00653720" w:rsidRDefault="00430B78" w:rsidP="00430B78">
      <w:pPr>
        <w:rPr>
          <w:rFonts w:ascii="Times New Roman" w:hAnsi="Times New Roman" w:cs="Times New Roman"/>
          <w:b/>
        </w:rPr>
      </w:pPr>
      <w:r w:rsidRPr="00653720">
        <w:rPr>
          <w:rFonts w:ascii="Times New Roman" w:hAnsi="Times New Roman" w:cs="Times New Roman"/>
          <w:b/>
        </w:rPr>
        <w:t>Die Folgen des demographischen Wandels für den deutschen Arbeitsmarkt</w:t>
      </w:r>
    </w:p>
    <w:p w:rsidR="00452EFE" w:rsidRPr="00653720" w:rsidRDefault="00763433" w:rsidP="00430B78">
      <w:pPr>
        <w:pStyle w:val="Listenabsatz"/>
        <w:numPr>
          <w:ilvl w:val="0"/>
          <w:numId w:val="1"/>
        </w:numPr>
        <w:rPr>
          <w:rFonts w:ascii="Times New Roman" w:hAnsi="Times New Roman" w:cs="Times New Roman"/>
        </w:rPr>
      </w:pPr>
      <w:r w:rsidRPr="00653720">
        <w:rPr>
          <w:rFonts w:ascii="Times New Roman" w:hAnsi="Times New Roman" w:cs="Times New Roman"/>
        </w:rPr>
        <w:t>Fuchs, J. et al.: Projektion des Erwerbspersonenpotentials bis 2060: Demografische Entwicklung lässt das Arbeitskräfteangebot stark schrumpfen, IAB-Kurzbericht 25/2021</w:t>
      </w:r>
    </w:p>
    <w:p w:rsidR="00430B78" w:rsidRPr="00653720" w:rsidRDefault="00430B78" w:rsidP="00430B78">
      <w:pPr>
        <w:rPr>
          <w:rFonts w:ascii="Times New Roman" w:hAnsi="Times New Roman" w:cs="Times New Roman"/>
        </w:rPr>
      </w:pPr>
      <w:r w:rsidRPr="00653720">
        <w:rPr>
          <w:rFonts w:ascii="Times New Roman" w:hAnsi="Times New Roman" w:cs="Times New Roman"/>
          <w:u w:val="single"/>
        </w:rPr>
        <w:t>Thema 11</w:t>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r>
      <w:r w:rsidR="0012700B" w:rsidRPr="00653720">
        <w:rPr>
          <w:rFonts w:ascii="Times New Roman" w:hAnsi="Times New Roman" w:cs="Times New Roman"/>
        </w:rPr>
        <w:tab/>
        <w:t>05.07.23</w:t>
      </w:r>
    </w:p>
    <w:p w:rsidR="00430B78" w:rsidRPr="00653720" w:rsidRDefault="00E65D2A" w:rsidP="00430B78">
      <w:pPr>
        <w:rPr>
          <w:rFonts w:ascii="Times New Roman" w:hAnsi="Times New Roman" w:cs="Times New Roman"/>
          <w:b/>
        </w:rPr>
      </w:pPr>
      <w:r w:rsidRPr="00653720">
        <w:rPr>
          <w:rFonts w:ascii="Times New Roman" w:hAnsi="Times New Roman" w:cs="Times New Roman"/>
          <w:b/>
        </w:rPr>
        <w:t>Die Integration Geflüchteter in den Arbeitsmarkt</w:t>
      </w:r>
    </w:p>
    <w:p w:rsidR="00452EFE" w:rsidRPr="00653720" w:rsidRDefault="00E65D2A" w:rsidP="00430B78">
      <w:pPr>
        <w:pStyle w:val="Listenabsatz"/>
        <w:numPr>
          <w:ilvl w:val="0"/>
          <w:numId w:val="1"/>
        </w:numPr>
        <w:rPr>
          <w:rFonts w:ascii="Times New Roman" w:hAnsi="Times New Roman" w:cs="Times New Roman"/>
        </w:rPr>
      </w:pPr>
      <w:r w:rsidRPr="00653720">
        <w:rPr>
          <w:rFonts w:ascii="Times New Roman" w:hAnsi="Times New Roman" w:cs="Times New Roman"/>
        </w:rPr>
        <w:t>Meyer, J. et al.: Flucht und Migration (Schwerpunkt), Soziale Sicherheit 5/2022, S. 177 - 195</w:t>
      </w:r>
    </w:p>
    <w:p w:rsidR="00430B78" w:rsidRPr="00653720" w:rsidRDefault="0012700B" w:rsidP="00430B78">
      <w:pPr>
        <w:rPr>
          <w:rFonts w:ascii="Times New Roman" w:hAnsi="Times New Roman" w:cs="Times New Roman"/>
        </w:rPr>
      </w:pPr>
      <w:r w:rsidRPr="00653720">
        <w:rPr>
          <w:rFonts w:ascii="Times New Roman" w:hAnsi="Times New Roman" w:cs="Times New Roman"/>
          <w:u w:val="single"/>
        </w:rPr>
        <w:t>Thema 12</w:t>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r>
      <w:r w:rsidRPr="00653720">
        <w:rPr>
          <w:rFonts w:ascii="Times New Roman" w:hAnsi="Times New Roman" w:cs="Times New Roman"/>
        </w:rPr>
        <w:tab/>
        <w:t>12.07.23</w:t>
      </w:r>
    </w:p>
    <w:p w:rsidR="00430B78" w:rsidRPr="00653720" w:rsidRDefault="00551EE4" w:rsidP="00430B78">
      <w:pPr>
        <w:rPr>
          <w:rFonts w:ascii="Times New Roman" w:hAnsi="Times New Roman" w:cs="Times New Roman"/>
          <w:b/>
        </w:rPr>
      </w:pPr>
      <w:r w:rsidRPr="00653720">
        <w:rPr>
          <w:rFonts w:ascii="Times New Roman" w:hAnsi="Times New Roman" w:cs="Times New Roman"/>
          <w:b/>
        </w:rPr>
        <w:t xml:space="preserve">Die staatliche Ausbildungsabgabe: Ein sinnvolles Instrument? </w:t>
      </w:r>
    </w:p>
    <w:p w:rsidR="00430B78" w:rsidRPr="00653720" w:rsidRDefault="00551EE4" w:rsidP="00430B78">
      <w:pPr>
        <w:pStyle w:val="Listenabsatz"/>
        <w:numPr>
          <w:ilvl w:val="0"/>
          <w:numId w:val="1"/>
        </w:numPr>
        <w:rPr>
          <w:rFonts w:ascii="Times New Roman" w:hAnsi="Times New Roman" w:cs="Times New Roman"/>
        </w:rPr>
      </w:pPr>
      <w:r w:rsidRPr="00653720">
        <w:rPr>
          <w:rFonts w:ascii="Times New Roman" w:hAnsi="Times New Roman" w:cs="Times New Roman"/>
        </w:rPr>
        <w:t>Steib, C. und Ketschau. T.J.: Ausbildungsabgabe als Instrument der staatlichen Verantwortung, in: Eckelt, M. et al. (Hrg): Berufsbildungspolitik: Strukturen – Krise – Perspektiven, Bielefeld 2022</w:t>
      </w:r>
    </w:p>
    <w:p w:rsidR="00430B78" w:rsidRDefault="00430B78" w:rsidP="00430B78">
      <w:pPr>
        <w:rPr>
          <w:rFonts w:ascii="Times New Roman" w:hAnsi="Times New Roman" w:cs="Times New Roman"/>
        </w:rPr>
      </w:pPr>
    </w:p>
    <w:p w:rsidR="00430B78" w:rsidRDefault="00430B78" w:rsidP="00430B78">
      <w:pPr>
        <w:rPr>
          <w:rFonts w:ascii="Times New Roman" w:hAnsi="Times New Roman" w:cs="Times New Roman"/>
          <w:b/>
          <w:sz w:val="24"/>
          <w:szCs w:val="24"/>
        </w:rPr>
      </w:pPr>
      <w:r w:rsidRPr="000D0FDC">
        <w:rPr>
          <w:rFonts w:ascii="Times New Roman" w:hAnsi="Times New Roman" w:cs="Times New Roman"/>
          <w:b/>
          <w:sz w:val="24"/>
          <w:szCs w:val="24"/>
        </w:rPr>
        <w:t>Ausgewählte Basisliteratur</w:t>
      </w:r>
    </w:p>
    <w:p w:rsidR="00430B78" w:rsidRPr="000D0FDC" w:rsidRDefault="00430B78" w:rsidP="00430B78">
      <w:pPr>
        <w:rPr>
          <w:rFonts w:ascii="Times New Roman" w:hAnsi="Times New Roman" w:cs="Times New Roman"/>
          <w:b/>
          <w:sz w:val="24"/>
          <w:szCs w:val="24"/>
        </w:rPr>
      </w:pPr>
    </w:p>
    <w:p w:rsidR="00430B78" w:rsidRPr="0019508A" w:rsidRDefault="00430B78" w:rsidP="00430B78">
      <w:pPr>
        <w:pStyle w:val="Listenabsatz"/>
        <w:numPr>
          <w:ilvl w:val="0"/>
          <w:numId w:val="2"/>
        </w:numPr>
        <w:rPr>
          <w:rFonts w:ascii="Times New Roman" w:hAnsi="Times New Roman" w:cs="Times New Roman"/>
          <w:b/>
          <w:sz w:val="24"/>
          <w:szCs w:val="24"/>
        </w:rPr>
      </w:pPr>
      <w:r w:rsidRPr="00FD779F">
        <w:rPr>
          <w:rFonts w:ascii="Times New Roman" w:hAnsi="Times New Roman" w:cs="Times New Roman"/>
          <w:b/>
          <w:sz w:val="24"/>
          <w:szCs w:val="24"/>
        </w:rPr>
        <w:t xml:space="preserve">Althammer, J.W. und Lampert, H.: Lehrbuch der </w:t>
      </w:r>
      <w:r w:rsidR="0057394E">
        <w:rPr>
          <w:rFonts w:ascii="Times New Roman" w:hAnsi="Times New Roman" w:cs="Times New Roman"/>
          <w:b/>
          <w:sz w:val="24"/>
          <w:szCs w:val="24"/>
        </w:rPr>
        <w:t>Sozialpolitik, 10.Aufl., Berlin/Heidelberg 2021</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Arbeitslosenprojekt TuWas (Hrg):</w:t>
      </w:r>
      <w:r w:rsidR="0057394E">
        <w:rPr>
          <w:rFonts w:ascii="Times New Roman" w:hAnsi="Times New Roman" w:cs="Times New Roman"/>
          <w:b/>
          <w:sz w:val="24"/>
          <w:szCs w:val="24"/>
        </w:rPr>
        <w:t xml:space="preserve"> 110 Schaubilder zum SGB III, 22. Aufl., Frankfurt/M. 2021</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Bäcker, G. et al.: Sozialpolitik und soziale</w:t>
      </w:r>
      <w:r w:rsidR="0057394E">
        <w:rPr>
          <w:rFonts w:ascii="Times New Roman" w:hAnsi="Times New Roman" w:cs="Times New Roman"/>
          <w:b/>
          <w:sz w:val="24"/>
          <w:szCs w:val="24"/>
        </w:rPr>
        <w:t xml:space="preserve"> Lage in Deutschland, 2 Bände, 6. Aufl., Wiesbaden 2020</w:t>
      </w:r>
    </w:p>
    <w:p w:rsidR="00430B78"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Bähr, H. et al.: Grundsicherung und Arbeitsmarkt in Deutschland, IAB, Nürnberg/Bielefeld 2018</w:t>
      </w:r>
    </w:p>
    <w:p w:rsidR="009D7E16" w:rsidRPr="000D0FDC" w:rsidRDefault="009D7E16"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Beckmann, F. und Spohr, F.: Arbeitsmarkt und Arbeitsmarktpolitik: Grundlagen, Wandel, Zukunftsperspektiven, München 2022</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Bothfeld, S. et al. (Hrg): Arbeitsmarktpolitik in der Sozialen Marktwirtschaft, 2.Aufl., Wiesbaden 2012</w:t>
      </w:r>
    </w:p>
    <w:p w:rsidR="00430B78"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Brückner, H. et al. (Hrg): Handbuch Arbeitsmarkt, IAB, Nürnberg/Bielefeld 2012</w:t>
      </w:r>
    </w:p>
    <w:p w:rsidR="00B117D1" w:rsidRPr="000D0FDC" w:rsidRDefault="00B117D1"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Eckelt, M. et al. (Hrg): Berufsbildungspolitik: Strukturen – Krise – Perspektiven, Bielefeld 2022 </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Fr</w:t>
      </w:r>
      <w:r w:rsidR="0057394E">
        <w:rPr>
          <w:rFonts w:ascii="Times New Roman" w:hAnsi="Times New Roman" w:cs="Times New Roman"/>
          <w:b/>
          <w:sz w:val="24"/>
          <w:szCs w:val="24"/>
        </w:rPr>
        <w:t>anz, W.: Arbeitsmarktökonomik, 8. Aufl., Berlin/Heidelberg 2013</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Fuchs, J. et al.: Immigration und Arbeitsmarkt, Coburg 2017</w:t>
      </w:r>
    </w:p>
    <w:p w:rsidR="00430B78"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Hinte, H. und Zimmermann, K.F. (Hrg): Zeitenwende auf dem Arbeitsmarkt, Bonn 2013</w:t>
      </w:r>
    </w:p>
    <w:p w:rsidR="00430B78" w:rsidRPr="000D0FDC" w:rsidRDefault="00430B78"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Jürgens, K. et al.: Arbeit transformieren!, Bonn 2018</w:t>
      </w:r>
    </w:p>
    <w:p w:rsidR="00430B78"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Keller, B.:  Einführung in die Arbeitspolitik, 7. Aufl., München 2008</w:t>
      </w:r>
    </w:p>
    <w:p w:rsidR="009D7E16" w:rsidRPr="00743FC8" w:rsidRDefault="009D7E16"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Kittner, M.: Arbeits- und Sozialordnung, 47. Aufl., Frankfurt/M. 2022</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Möller, J. und Walwei, U. (Hrg): Arbeitsmarkt kompakt: Analysen, Daten, Fakten, IAB, Nürnberg/Bielefeld 2017</w:t>
      </w:r>
    </w:p>
    <w:p w:rsidR="00430B78" w:rsidRPr="000D0FDC"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Neumann, L.F.: und Schaper, K.: Die Sozialordnung der Bundesrepublik Deutschland, 5. Aufl., Frankfurt / New York 2008</w:t>
      </w:r>
    </w:p>
    <w:p w:rsidR="00430B78" w:rsidRDefault="00430B78" w:rsidP="00430B78">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t>Pilz, F.: Der Sozialstaat, Bonn 2009</w:t>
      </w:r>
    </w:p>
    <w:p w:rsidR="00430B78" w:rsidRDefault="00430B78" w:rsidP="00430B78">
      <w:pPr>
        <w:pStyle w:val="Listenabsatz"/>
        <w:numPr>
          <w:ilvl w:val="0"/>
          <w:numId w:val="2"/>
        </w:numPr>
        <w:rPr>
          <w:rFonts w:ascii="Times New Roman" w:hAnsi="Times New Roman" w:cs="Times New Roman"/>
          <w:b/>
          <w:sz w:val="24"/>
          <w:szCs w:val="24"/>
        </w:rPr>
      </w:pPr>
      <w:r w:rsidRPr="00333A47">
        <w:rPr>
          <w:rFonts w:ascii="Times New Roman" w:hAnsi="Times New Roman" w:cs="Times New Roman"/>
          <w:b/>
          <w:sz w:val="24"/>
          <w:szCs w:val="24"/>
        </w:rPr>
        <w:t>Straubhaar, T.: Radikal gerecht: Wie das bedingungslose Grundeinkommen den Sozialstaat revolutioniert, Hamburg 2017</w:t>
      </w:r>
    </w:p>
    <w:p w:rsidR="00B117D1" w:rsidRDefault="00B117D1"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Thomsen, J.U.: Effekte arbeitsmarktpolitischer Reformen, Bielefeld 2021</w:t>
      </w:r>
    </w:p>
    <w:p w:rsidR="00912EEC" w:rsidRPr="00333A47" w:rsidRDefault="00912EEC" w:rsidP="00430B78">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Wilke, C.B. et al. (Hrg): Zur Relevanz von Bevölkerungsvorausberechnungen für Arbeitsmarkt-, Bildungs- und Regionalpolitik, Bielefeld 2020</w:t>
      </w:r>
    </w:p>
    <w:p w:rsidR="00C675EC" w:rsidRPr="00653720" w:rsidRDefault="00430B78" w:rsidP="00653720">
      <w:pPr>
        <w:pStyle w:val="Listenabsatz"/>
        <w:numPr>
          <w:ilvl w:val="0"/>
          <w:numId w:val="2"/>
        </w:numPr>
        <w:rPr>
          <w:rFonts w:ascii="Times New Roman" w:hAnsi="Times New Roman" w:cs="Times New Roman"/>
          <w:b/>
          <w:sz w:val="24"/>
          <w:szCs w:val="24"/>
        </w:rPr>
      </w:pPr>
      <w:r w:rsidRPr="000D0FDC">
        <w:rPr>
          <w:rFonts w:ascii="Times New Roman" w:hAnsi="Times New Roman" w:cs="Times New Roman"/>
          <w:b/>
          <w:sz w:val="24"/>
          <w:szCs w:val="24"/>
        </w:rPr>
        <w:lastRenderedPageBreak/>
        <w:t>Zika, G. und Maier, T. (Hrg): Qualifikation und Beruf in Deutschlands Regionen bis 2030, IAB, Nürnberg/Bielefeld 2015</w:t>
      </w:r>
    </w:p>
    <w:sectPr w:rsidR="00C675EC" w:rsidRPr="006537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14" w:rsidRDefault="00A21014">
      <w:pPr>
        <w:spacing w:after="0" w:line="240" w:lineRule="auto"/>
      </w:pPr>
      <w:r>
        <w:separator/>
      </w:r>
    </w:p>
  </w:endnote>
  <w:endnote w:type="continuationSeparator" w:id="0">
    <w:p w:rsidR="00A21014" w:rsidRDefault="00A2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3C" w:rsidRDefault="0065372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3183C" w:rsidRDefault="002C72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3C" w:rsidRDefault="002C72A5"/>
  <w:p w:rsidR="0043183C" w:rsidRDefault="002C72A5">
    <w:pPr>
      <w:spacing w:line="240" w:lineRule="exact"/>
      <w:rPr>
        <w:szCs w:val="20"/>
      </w:rPr>
    </w:pPr>
  </w:p>
  <w:p w:rsidR="0043183C" w:rsidRDefault="002C72A5">
    <w:pPr>
      <w:jc w:val="center"/>
      <w:rPr>
        <w:sz w:val="24"/>
      </w:rPr>
    </w:pPr>
  </w:p>
  <w:p w:rsidR="0043183C" w:rsidRDefault="00653720">
    <w:pPr>
      <w:framePr w:wrap="around" w:vAnchor="text" w:hAnchor="margin" w:xAlign="right" w:y="1"/>
      <w:jc w:val="right"/>
      <w:rPr>
        <w:szCs w:val="20"/>
      </w:rPr>
    </w:pPr>
    <w:r>
      <w:rPr>
        <w:szCs w:val="20"/>
      </w:rPr>
      <w:fldChar w:fldCharType="begin"/>
    </w:r>
    <w:r>
      <w:rPr>
        <w:szCs w:val="20"/>
      </w:rPr>
      <w:instrText xml:space="preserve">PAGE </w:instrText>
    </w:r>
    <w:r>
      <w:rPr>
        <w:szCs w:val="20"/>
      </w:rPr>
      <w:fldChar w:fldCharType="separate"/>
    </w:r>
    <w:r w:rsidR="002C72A5">
      <w:rPr>
        <w:noProof/>
        <w:szCs w:val="20"/>
      </w:rPr>
      <w:t>3</w:t>
    </w:r>
    <w:r>
      <w:rPr>
        <w:szCs w:val="20"/>
      </w:rPr>
      <w:fldChar w:fldCharType="end"/>
    </w:r>
  </w:p>
  <w:p w:rsidR="0043183C" w:rsidRDefault="00653720">
    <w:pPr>
      <w:tabs>
        <w:tab w:val="right" w:pos="8664"/>
      </w:tabs>
      <w:ind w:right="360"/>
      <w:jc w:val="both"/>
      <w:rPr>
        <w:szCs w:val="20"/>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14" w:rsidRDefault="00A21014">
      <w:pPr>
        <w:spacing w:after="0" w:line="240" w:lineRule="auto"/>
      </w:pPr>
      <w:r>
        <w:separator/>
      </w:r>
    </w:p>
  </w:footnote>
  <w:footnote w:type="continuationSeparator" w:id="0">
    <w:p w:rsidR="00A21014" w:rsidRDefault="00A21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F8B"/>
    <w:multiLevelType w:val="hybridMultilevel"/>
    <w:tmpl w:val="1EFCE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0A4ABA"/>
    <w:multiLevelType w:val="hybridMultilevel"/>
    <w:tmpl w:val="FE906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78"/>
    <w:rsid w:val="00005FA2"/>
    <w:rsid w:val="00090BE3"/>
    <w:rsid w:val="0012700B"/>
    <w:rsid w:val="0024609C"/>
    <w:rsid w:val="002727C0"/>
    <w:rsid w:val="002C72A5"/>
    <w:rsid w:val="003205B6"/>
    <w:rsid w:val="003267F0"/>
    <w:rsid w:val="00430B78"/>
    <w:rsid w:val="00452EFE"/>
    <w:rsid w:val="00551EE4"/>
    <w:rsid w:val="0057394E"/>
    <w:rsid w:val="005E0771"/>
    <w:rsid w:val="00601DEB"/>
    <w:rsid w:val="00653720"/>
    <w:rsid w:val="007026CC"/>
    <w:rsid w:val="00730E34"/>
    <w:rsid w:val="00763433"/>
    <w:rsid w:val="0078484A"/>
    <w:rsid w:val="007C6572"/>
    <w:rsid w:val="00912EEC"/>
    <w:rsid w:val="009D7E16"/>
    <w:rsid w:val="00A21014"/>
    <w:rsid w:val="00B117D1"/>
    <w:rsid w:val="00BA5395"/>
    <w:rsid w:val="00C675EC"/>
    <w:rsid w:val="00E65D2A"/>
    <w:rsid w:val="00F00396"/>
    <w:rsid w:val="00FA6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A0F7"/>
  <w15:docId w15:val="{7CEA2F6D-FCC1-4C81-AAAB-B72C8E70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B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30B78"/>
    <w:pPr>
      <w:ind w:left="720"/>
      <w:contextualSpacing/>
    </w:pPr>
  </w:style>
  <w:style w:type="paragraph" w:customStyle="1" w:styleId="berschrift">
    <w:name w:val="Überschrift"/>
    <w:basedOn w:val="Standard"/>
    <w:rsid w:val="00005FA2"/>
    <w:pPr>
      <w:widowControl w:val="0"/>
      <w:tabs>
        <w:tab w:val="right" w:pos="9024"/>
        <w:tab w:val="right" w:pos="9360"/>
      </w:tabs>
      <w:autoSpaceDE w:val="0"/>
      <w:autoSpaceDN w:val="0"/>
      <w:adjustRightInd w:val="0"/>
      <w:spacing w:after="0" w:line="240" w:lineRule="auto"/>
    </w:pPr>
    <w:rPr>
      <w:rFonts w:ascii="Times New Roman TUR" w:eastAsia="Times New Roman" w:hAnsi="Times New Roman TUR" w:cs="Times New Roman"/>
      <w:b/>
      <w:bCs/>
      <w:sz w:val="24"/>
      <w:szCs w:val="24"/>
      <w:lang w:val="en-US" w:eastAsia="de-DE"/>
    </w:rPr>
  </w:style>
  <w:style w:type="paragraph" w:styleId="Fuzeile">
    <w:name w:val="footer"/>
    <w:basedOn w:val="Standard"/>
    <w:link w:val="FuzeileZchn"/>
    <w:rsid w:val="00005FA2"/>
    <w:pPr>
      <w:widowControl w:val="0"/>
      <w:tabs>
        <w:tab w:val="center" w:pos="4536"/>
        <w:tab w:val="right" w:pos="9072"/>
      </w:tabs>
      <w:autoSpaceDE w:val="0"/>
      <w:autoSpaceDN w:val="0"/>
      <w:adjustRightInd w:val="0"/>
      <w:spacing w:after="0" w:line="240" w:lineRule="auto"/>
    </w:pPr>
    <w:rPr>
      <w:rFonts w:ascii="GoudyOlSt BT" w:eastAsia="Times New Roman" w:hAnsi="GoudyOlSt BT" w:cs="Times New Roman"/>
      <w:sz w:val="20"/>
      <w:szCs w:val="24"/>
      <w:lang w:val="en-US" w:eastAsia="de-DE"/>
    </w:rPr>
  </w:style>
  <w:style w:type="character" w:customStyle="1" w:styleId="FuzeileZchn">
    <w:name w:val="Fußzeile Zchn"/>
    <w:basedOn w:val="Absatz-Standardschriftart"/>
    <w:link w:val="Fuzeile"/>
    <w:rsid w:val="00005FA2"/>
    <w:rPr>
      <w:rFonts w:ascii="GoudyOlSt BT" w:eastAsia="Times New Roman" w:hAnsi="GoudyOlSt BT" w:cs="Times New Roman"/>
      <w:sz w:val="20"/>
      <w:szCs w:val="24"/>
      <w:lang w:val="en-US" w:eastAsia="de-DE"/>
    </w:rPr>
  </w:style>
  <w:style w:type="character" w:styleId="Seitenzahl">
    <w:name w:val="page number"/>
    <w:basedOn w:val="Absatz-Standardschriftart"/>
    <w:rsid w:val="00005FA2"/>
  </w:style>
  <w:style w:type="paragraph" w:styleId="Textkrper">
    <w:name w:val="Body Text"/>
    <w:basedOn w:val="Standard"/>
    <w:link w:val="TextkrperZchn"/>
    <w:unhideWhenUsed/>
    <w:rsid w:val="00005FA2"/>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rsid w:val="00005FA2"/>
    <w:rPr>
      <w:rFonts w:ascii="Times New Roman" w:eastAsia="Times New Roman" w:hAnsi="Times New Roman"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962</Words>
  <Characters>6067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Pfarherr, Olga</cp:lastModifiedBy>
  <cp:revision>2</cp:revision>
  <dcterms:created xsi:type="dcterms:W3CDTF">2023-01-24T11:10:00Z</dcterms:created>
  <dcterms:modified xsi:type="dcterms:W3CDTF">2023-01-24T11:10:00Z</dcterms:modified>
</cp:coreProperties>
</file>